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942" w:rsidRDefault="00D56942" w:rsidP="00D56942">
      <w:pPr>
        <w:spacing w:after="0"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 xml:space="preserve">خاتمة: </w:t>
      </w:r>
    </w:p>
    <w:p w:rsidR="00D56942" w:rsidRDefault="00D56942" w:rsidP="00700B7D">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حاولنا من خلال بحثنا هذا الإجابة على الإشكالية الرئيسية </w:t>
      </w:r>
      <w:r w:rsidR="00700B7D">
        <w:rPr>
          <w:rFonts w:asciiTheme="majorBidi" w:hAnsiTheme="majorBidi" w:cs="Simplified Arabic" w:hint="cs"/>
          <w:sz w:val="32"/>
          <w:szCs w:val="32"/>
          <w:rtl/>
          <w:lang w:bidi="ar-DZ"/>
        </w:rPr>
        <w:t xml:space="preserve">والمتمثلة في ما هي ضمانات المشتبه فيه أثناء مرحلة التحري والاستدلال </w:t>
      </w:r>
      <w:r>
        <w:rPr>
          <w:rFonts w:asciiTheme="majorBidi" w:hAnsiTheme="majorBidi" w:cs="Simplified Arabic" w:hint="cs"/>
          <w:sz w:val="32"/>
          <w:szCs w:val="32"/>
          <w:rtl/>
          <w:lang w:bidi="ar-DZ"/>
        </w:rPr>
        <w:t xml:space="preserve">وما تثيره من تساؤلات فرعية، </w:t>
      </w:r>
      <w:r w:rsidR="00700B7D">
        <w:rPr>
          <w:rFonts w:asciiTheme="majorBidi" w:hAnsiTheme="majorBidi" w:cs="Simplified Arabic" w:hint="cs"/>
          <w:sz w:val="32"/>
          <w:szCs w:val="32"/>
          <w:rtl/>
          <w:lang w:bidi="ar-DZ"/>
        </w:rPr>
        <w:t>و</w:t>
      </w:r>
      <w:r>
        <w:rPr>
          <w:rFonts w:asciiTheme="majorBidi" w:hAnsiTheme="majorBidi" w:cs="Simplified Arabic" w:hint="cs"/>
          <w:sz w:val="32"/>
          <w:szCs w:val="32"/>
          <w:rtl/>
          <w:lang w:bidi="ar-DZ"/>
        </w:rPr>
        <w:t>قد بدت لنا جملة من النتائج التي نرى من الضرورة أي نورد أهمها في الخاتمة إضافة إلى جملة من الاقتراحات التي يمكننا اقتراحها في هذا المجال</w:t>
      </w:r>
      <w:r w:rsidR="00700B7D">
        <w:rPr>
          <w:rFonts w:asciiTheme="majorBidi" w:hAnsiTheme="majorBidi" w:cs="Simplified Arabic" w:hint="cs"/>
          <w:sz w:val="32"/>
          <w:szCs w:val="32"/>
          <w:rtl/>
          <w:lang w:bidi="ar-DZ"/>
        </w:rPr>
        <w:t>.</w:t>
      </w:r>
    </w:p>
    <w:p w:rsidR="00700B7D" w:rsidRDefault="00700B7D" w:rsidP="00700B7D">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 xml:space="preserve">وقد استنتجنا أن: </w:t>
      </w:r>
    </w:p>
    <w:p w:rsidR="00D56942" w:rsidRDefault="00D56942" w:rsidP="00D56942">
      <w:pPr>
        <w:pStyle w:val="a3"/>
        <w:numPr>
          <w:ilvl w:val="0"/>
          <w:numId w:val="1"/>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تعد مرحلة التحري والاستدلال من أخطر المراحل في مجال الحقوق والحريات وذلك لتعلقها بأفراد لم يصلوا بعد إلى درجة الاتهام أو الإدانة وإنما دار الشبه نحوهم.</w:t>
      </w:r>
    </w:p>
    <w:p w:rsidR="00D56942" w:rsidRDefault="00D56942" w:rsidP="00F5025D">
      <w:pPr>
        <w:pStyle w:val="a3"/>
        <w:numPr>
          <w:ilvl w:val="0"/>
          <w:numId w:val="1"/>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يعتبر مبدأ البراءة هو الأساس القانوني لضوابط التحري والاستدلال عن الجرائم التي يلتزم بها رجال الضبطية القضائية عند مباشرتهم لإجراءات هذه المرحلة.</w:t>
      </w:r>
    </w:p>
    <w:p w:rsidR="00D56942" w:rsidRDefault="00D56942" w:rsidP="00D56942">
      <w:pPr>
        <w:pStyle w:val="a3"/>
        <w:numPr>
          <w:ilvl w:val="0"/>
          <w:numId w:val="1"/>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حرص القانون من أجل حماية الحقوق والحريات أثناء مرحلة التحري والاستدلال بضرورة توافر صفة معينة في شخص القائم بهذه المرحلة.</w:t>
      </w:r>
    </w:p>
    <w:p w:rsidR="00D56942" w:rsidRDefault="00D56942" w:rsidP="00F5025D">
      <w:pPr>
        <w:pStyle w:val="a3"/>
        <w:numPr>
          <w:ilvl w:val="0"/>
          <w:numId w:val="1"/>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ندرة الميل إلى تعريف الضمانات وهذا راجع إلى غموض فكرة الضمانات وغالبا ما يه</w:t>
      </w:r>
      <w:r w:rsidR="00F5025D">
        <w:rPr>
          <w:rFonts w:asciiTheme="majorBidi" w:hAnsiTheme="majorBidi" w:cs="Simplified Arabic" w:hint="cs"/>
          <w:sz w:val="32"/>
          <w:szCs w:val="32"/>
          <w:rtl/>
          <w:lang w:bidi="ar-DZ"/>
        </w:rPr>
        <w:t>ت</w:t>
      </w:r>
      <w:r>
        <w:rPr>
          <w:rFonts w:asciiTheme="majorBidi" w:hAnsiTheme="majorBidi" w:cs="Simplified Arabic" w:hint="cs"/>
          <w:sz w:val="32"/>
          <w:szCs w:val="32"/>
          <w:rtl/>
          <w:lang w:bidi="ar-DZ"/>
        </w:rPr>
        <w:t>م بتعريف الحقوق وتحديد أنواعها.</w:t>
      </w:r>
    </w:p>
    <w:p w:rsidR="00D56942" w:rsidRDefault="00D56942" w:rsidP="00D56942">
      <w:pPr>
        <w:pStyle w:val="a3"/>
        <w:numPr>
          <w:ilvl w:val="0"/>
          <w:numId w:val="1"/>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 xml:space="preserve">أغلب الإجراءات التي يقوم بها رجال الضبطية القضائية تخضع للإشراف من طرف النيابة العامة وإدارة وكيل الجمهورية ورقابة غرفة الاتهام، ويتعرضون </w:t>
      </w:r>
      <w:r>
        <w:rPr>
          <w:rFonts w:asciiTheme="majorBidi" w:hAnsiTheme="majorBidi" w:cs="Simplified Arabic" w:hint="cs"/>
          <w:sz w:val="32"/>
          <w:szCs w:val="32"/>
          <w:rtl/>
          <w:lang w:bidi="ar-DZ"/>
        </w:rPr>
        <w:lastRenderedPageBreak/>
        <w:t>للمسؤولية في حالة ارتكاب أخطاء بحسب نوع الخطأ وخطورته، وهذا ضمانا لعدم الافتيات على الحقوق والحريات الفردية.</w:t>
      </w:r>
    </w:p>
    <w:p w:rsidR="00D56942" w:rsidRDefault="00D56942" w:rsidP="00D56942">
      <w:pPr>
        <w:pStyle w:val="a3"/>
        <w:numPr>
          <w:ilvl w:val="0"/>
          <w:numId w:val="1"/>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إن من المبادئ الأساسية التي تساهم في حماية الحقوق والحريات أثناء مرحلة التحري والاستدلال الالتزام بالشرعية الموضوعية والإجرائية والالتزام بسرية التحري</w:t>
      </w:r>
      <w:r w:rsidR="00F5025D">
        <w:rPr>
          <w:rFonts w:asciiTheme="majorBidi" w:hAnsiTheme="majorBidi" w:cs="Simplified Arabic" w:hint="cs"/>
          <w:sz w:val="32"/>
          <w:szCs w:val="32"/>
          <w:rtl/>
          <w:lang w:bidi="ar-DZ"/>
        </w:rPr>
        <w:t>ات</w:t>
      </w:r>
      <w:r>
        <w:rPr>
          <w:rFonts w:asciiTheme="majorBidi" w:hAnsiTheme="majorBidi" w:cs="Simplified Arabic" w:hint="cs"/>
          <w:sz w:val="32"/>
          <w:szCs w:val="32"/>
          <w:rtl/>
          <w:lang w:bidi="ar-DZ"/>
        </w:rPr>
        <w:t xml:space="preserve"> وتدوينها.</w:t>
      </w:r>
    </w:p>
    <w:p w:rsidR="00D56942" w:rsidRDefault="00D56942" w:rsidP="00D56942">
      <w:pPr>
        <w:pStyle w:val="a3"/>
        <w:numPr>
          <w:ilvl w:val="0"/>
          <w:numId w:val="1"/>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منح المشرع الجزائري سلطات الضبطية القضائية مسايرة لتطور حركة الواقع الجرمي وفي جرائم محددة في المادة 16 ف 7 صلاحيات متمثلة في اعتراض المراسلات والتقاط الصور والتنصت والتسرب ويباشرون هذه المهام بإذن من وكيل الجمهورية أو أمر من قاضي التحقيق، ولم يرتب القانون على الإجراءات المنصوص عليها في المادة 65 مكرر5 البطلان في حالة اكتشاف جرائم أخرى غير التي ذكرت في الإذن، وهذا بخلاف التسرب الذي يتضح من خلال المادة 65 مكرر 12 أن المشرع يرتب عليه البطلان في حالة ما إذا كانت الأفعال المنصوص عليها في المادة 65 مكرر 14 تشكل تحريضا على ارتكاب الجرائم.</w:t>
      </w:r>
    </w:p>
    <w:p w:rsidR="00D56942" w:rsidRDefault="00D56942" w:rsidP="00F5025D">
      <w:pPr>
        <w:pStyle w:val="a3"/>
        <w:numPr>
          <w:ilvl w:val="0"/>
          <w:numId w:val="1"/>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حر</w:t>
      </w:r>
      <w:r w:rsidR="00F5025D">
        <w:rPr>
          <w:rFonts w:asciiTheme="majorBidi" w:hAnsiTheme="majorBidi" w:cs="Simplified Arabic" w:hint="cs"/>
          <w:sz w:val="32"/>
          <w:szCs w:val="32"/>
          <w:rtl/>
          <w:lang w:bidi="ar-DZ"/>
        </w:rPr>
        <w:t>ص</w:t>
      </w:r>
      <w:r>
        <w:rPr>
          <w:rFonts w:asciiTheme="majorBidi" w:hAnsiTheme="majorBidi" w:cs="Simplified Arabic" w:hint="cs"/>
          <w:sz w:val="32"/>
          <w:szCs w:val="32"/>
          <w:rtl/>
          <w:lang w:bidi="ar-DZ"/>
        </w:rPr>
        <w:t xml:space="preserve"> المشرع على حماية حرمة المساكن وحقوق وحريات الأفراد، حتى لا تنتهك تلك الحريات بذريعة مكافحة الجريمة، فإذا كانت الغاية هي محاربة الجريمة فلا ينبغي أن تكون على حساب المساس بحقوق وحريات المواطن.</w:t>
      </w:r>
    </w:p>
    <w:p w:rsidR="00D56942" w:rsidRDefault="00D56942" w:rsidP="00D56942">
      <w:pPr>
        <w:pStyle w:val="a3"/>
        <w:numPr>
          <w:ilvl w:val="0"/>
          <w:numId w:val="1"/>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lastRenderedPageBreak/>
        <w:t>حظر ممارسة الإكراه والتعذيب وعدم المساس بالحقوق الفردية والكرامة الإنسانية باستعمال التحليل التخديري والتنويم المغناطيسي وجهاز كشف الكذب كجهاز للكشف عن الجريمة خلال مرحلة التحري والاستدلال.</w:t>
      </w:r>
    </w:p>
    <w:p w:rsidR="00D56942" w:rsidRDefault="00D56942" w:rsidP="00D56942">
      <w:pPr>
        <w:pStyle w:val="a3"/>
        <w:numPr>
          <w:ilvl w:val="0"/>
          <w:numId w:val="1"/>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احتراما لحقوق الدفاع وقدسيتها فإن المشرع الجزائري لم يستثني مراقبة المحادثات الخاصة التي تتم بين المشتبه فيه والمدافع عنه، سواء عن طريق الهاتف أو أثناء اجتماع المشتبه فيه بمحاميه وهذا يشكل انتهاكا لحقوق الدفاع.</w:t>
      </w:r>
    </w:p>
    <w:p w:rsidR="00D56942" w:rsidRDefault="00D56942" w:rsidP="00D56942">
      <w:pPr>
        <w:pStyle w:val="a3"/>
        <w:numPr>
          <w:ilvl w:val="0"/>
          <w:numId w:val="1"/>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عدم تمتع المشتبه فيه بنفس الضمانات المقررة للمتهم إلا في النظم الأنجلو أمريكية والقانون الفرنسي منذ تعديلات 1993 والتي تم تدعيمها بموجب قانون تدعيم قرينة البراءة رقم 516 لسنة 2000.</w:t>
      </w:r>
    </w:p>
    <w:p w:rsidR="00D56942" w:rsidRPr="006064A6" w:rsidRDefault="006064A6" w:rsidP="006064A6">
      <w:pPr>
        <w:spacing w:after="0" w:line="360" w:lineRule="auto"/>
        <w:jc w:val="both"/>
        <w:rPr>
          <w:rFonts w:asciiTheme="majorBidi" w:hAnsiTheme="majorBidi" w:cs="Simplified Arabic"/>
          <w:sz w:val="32"/>
          <w:szCs w:val="32"/>
          <w:rtl/>
          <w:lang w:bidi="ar-DZ"/>
        </w:rPr>
      </w:pPr>
      <w:r w:rsidRPr="006064A6">
        <w:rPr>
          <w:rFonts w:asciiTheme="majorBidi" w:hAnsiTheme="majorBidi" w:cs="Simplified Arabic" w:hint="cs"/>
          <w:sz w:val="32"/>
          <w:szCs w:val="32"/>
          <w:rtl/>
          <w:lang w:bidi="ar-DZ"/>
        </w:rPr>
        <w:t xml:space="preserve">        وقد أقترحنا أنه</w:t>
      </w:r>
    </w:p>
    <w:p w:rsidR="00D56942" w:rsidRDefault="00D56942" w:rsidP="00D56942">
      <w:pPr>
        <w:pStyle w:val="a3"/>
        <w:numPr>
          <w:ilvl w:val="0"/>
          <w:numId w:val="2"/>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يجب على المشرع الجزائري تدارك النقص والنص على قواعد تفتيش الأشخاص وضوابطها.</w:t>
      </w:r>
    </w:p>
    <w:p w:rsidR="00D56942" w:rsidRDefault="00D56942" w:rsidP="00D56942">
      <w:pPr>
        <w:pStyle w:val="a3"/>
        <w:numPr>
          <w:ilvl w:val="0"/>
          <w:numId w:val="2"/>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وضع نص خاص بتفتيش عيادة الطبيب ووضع ضوابط لذلك اقتداءا م بالمشرع الفرنسي طبقا للمادة 56 ف3 من قانون الإجراءات الجزائية.</w:t>
      </w:r>
    </w:p>
    <w:p w:rsidR="00D56942" w:rsidRDefault="00D56942" w:rsidP="00D56942">
      <w:pPr>
        <w:pStyle w:val="a3"/>
        <w:numPr>
          <w:ilvl w:val="0"/>
          <w:numId w:val="2"/>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يتعين على المشرع أن يضع نص يتناول فيه تفتيش مؤسسة إعلامية أو مؤسسة اتصالات وتحديد ضوابط هذا التفتيش والأشخاص القائمين به.</w:t>
      </w:r>
    </w:p>
    <w:p w:rsidR="00D56942" w:rsidRDefault="00D56942" w:rsidP="00D56942">
      <w:pPr>
        <w:pStyle w:val="a3"/>
        <w:numPr>
          <w:ilvl w:val="0"/>
          <w:numId w:val="2"/>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lastRenderedPageBreak/>
        <w:t>توفير اعتمادات مالية لمصاريف الموقوفين للنظر طيلة فترة توقيفهم كمصاريف الأكل والشرب وضرورة توفير وتخصيص أماكن لائقة أكثر بكرامة الإنسان.</w:t>
      </w:r>
    </w:p>
    <w:p w:rsidR="00D56942" w:rsidRDefault="00D56942" w:rsidP="00D56942">
      <w:pPr>
        <w:pStyle w:val="a3"/>
        <w:numPr>
          <w:ilvl w:val="0"/>
          <w:numId w:val="2"/>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على المشرع أن يحدد مفاهيم المشتبه فيه والمتهم بشكل واضح لكي لا يكون هناك لبس.</w:t>
      </w:r>
    </w:p>
    <w:p w:rsidR="00D56942" w:rsidRDefault="00D56942" w:rsidP="00D56942">
      <w:pPr>
        <w:pStyle w:val="a3"/>
        <w:numPr>
          <w:ilvl w:val="0"/>
          <w:numId w:val="2"/>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النص صراحة على تمتع المشتبه فيه أثناء مرحلة التحري والاستدلال بضمانات الدفاع المتفرعة عن قرينة البراءة بين نصوص قانون الإجراءات الجزائية وذلك أمام الدرك والشرطة وفي حالة التوقيف للنظر والقبض.</w:t>
      </w:r>
    </w:p>
    <w:p w:rsidR="00D56942" w:rsidRDefault="00D56942" w:rsidP="00D56942">
      <w:pPr>
        <w:pStyle w:val="a3"/>
        <w:numPr>
          <w:ilvl w:val="0"/>
          <w:numId w:val="2"/>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النص صراحة على تجريم الوسائل التي تتناقض مع قرينة البراءة والمتمثلة في الوسائل العلمية الحديثة كالتنويم المغناطيسي والتحليل التخديري وأجهزة كشف الكذب بما فيها من انتهاكات صارخة لحقوق الإنسان.</w:t>
      </w:r>
    </w:p>
    <w:p w:rsidR="00D56942" w:rsidRDefault="00D56942" w:rsidP="00D56942">
      <w:pPr>
        <w:pStyle w:val="a3"/>
        <w:numPr>
          <w:ilvl w:val="0"/>
          <w:numId w:val="2"/>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ندعو المشرع لوضع تنظيم تشريعي للاستيقاف ويبين غايته ومدته وشروطه وآثاره والقائم به وذلك منعا لتحكم رجال السلطة في حريات الأفراد وأقدارهم.</w:t>
      </w:r>
    </w:p>
    <w:p w:rsidR="00D56942" w:rsidRDefault="00D56942" w:rsidP="00D56942">
      <w:pPr>
        <w:pStyle w:val="a3"/>
        <w:numPr>
          <w:ilvl w:val="0"/>
          <w:numId w:val="2"/>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انتفاء وتكوين أحسن العناصر للالتحاق بمهمة الضبط القضائي، لأن ذلك هو بداية الاهتمام بتوفير الضمانات القانونية لتنفيذ القانون ولأن قيمة القوانين تقدر بقيمة الرجال المكلفين بتطبيقها.</w:t>
      </w:r>
    </w:p>
    <w:p w:rsidR="00D56942" w:rsidRDefault="00D56942" w:rsidP="00D56942">
      <w:pPr>
        <w:pStyle w:val="a3"/>
        <w:numPr>
          <w:ilvl w:val="0"/>
          <w:numId w:val="2"/>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ندعو المشرع إلى النص صراحة على أن يكون تفتيش الأنثى بواسطة أنثى احتراما لحياة المرأة وحفاظا على عورتها.</w:t>
      </w:r>
    </w:p>
    <w:p w:rsidR="00D56942" w:rsidRDefault="00D56942" w:rsidP="00D56942">
      <w:pPr>
        <w:pStyle w:val="a3"/>
        <w:numPr>
          <w:ilvl w:val="0"/>
          <w:numId w:val="2"/>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lastRenderedPageBreak/>
        <w:t>تحديد شروط استعمال الكلاب البوليسية واستبعاد الدليل المتحصل عليه عن طريق حمل المشتبه فيه على الاعتراف بالجرم المنسوب إليه عن طريق خوفه من هذه الكلاب.</w:t>
      </w:r>
    </w:p>
    <w:p w:rsidR="00D56942" w:rsidRDefault="00D56942" w:rsidP="002A4621">
      <w:pPr>
        <w:pStyle w:val="a3"/>
        <w:numPr>
          <w:ilvl w:val="0"/>
          <w:numId w:val="2"/>
        </w:numPr>
        <w:spacing w:after="0" w:line="360" w:lineRule="auto"/>
        <w:jc w:val="both"/>
        <w:rPr>
          <w:rFonts w:asciiTheme="majorBidi" w:hAnsiTheme="majorBidi" w:cs="Simplified Arabic"/>
          <w:sz w:val="32"/>
          <w:szCs w:val="32"/>
          <w:lang w:bidi="ar-DZ"/>
        </w:rPr>
      </w:pPr>
      <w:r w:rsidRPr="002A4621">
        <w:rPr>
          <w:rFonts w:asciiTheme="majorBidi" w:hAnsiTheme="majorBidi" w:cs="Simplified Arabic" w:hint="cs"/>
          <w:sz w:val="32"/>
          <w:szCs w:val="32"/>
          <w:rtl/>
          <w:lang w:bidi="ar-DZ"/>
        </w:rPr>
        <w:t xml:space="preserve">يتعين على المشرع أن يتدخل ويضع زمانا لبداية تفتيش المساكن في فصل الشتاء ولتكن من بداية الساعة السابعة صباحا ولا يكون بعد الساعة السابعة مساءا. </w:t>
      </w:r>
    </w:p>
    <w:sectPr w:rsidR="00D56942" w:rsidSect="007D6FB1">
      <w:headerReference w:type="default" r:id="rId7"/>
      <w:footerReference w:type="default" r:id="rId8"/>
      <w:pgSz w:w="11906" w:h="16838"/>
      <w:pgMar w:top="1418" w:right="1701" w:bottom="1418" w:left="1134" w:header="709" w:footer="709" w:gutter="0"/>
      <w:pgNumType w:fmt="numberInDash" w:start="138"/>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7F6D" w:rsidRDefault="00587F6D" w:rsidP="00D56942">
      <w:pPr>
        <w:spacing w:after="0" w:line="240" w:lineRule="auto"/>
      </w:pPr>
      <w:r>
        <w:separator/>
      </w:r>
    </w:p>
  </w:endnote>
  <w:endnote w:type="continuationSeparator" w:id="1">
    <w:p w:rsidR="00587F6D" w:rsidRDefault="00587F6D" w:rsidP="00D56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HeshamNormal">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7646219"/>
      <w:docPartObj>
        <w:docPartGallery w:val="Page Numbers (Bottom of Page)"/>
        <w:docPartUnique/>
      </w:docPartObj>
    </w:sdtPr>
    <w:sdtContent>
      <w:p w:rsidR="009839FE" w:rsidRDefault="00BB497D">
        <w:pPr>
          <w:pStyle w:val="a5"/>
          <w:jc w:val="center"/>
        </w:pPr>
        <w:fldSimple w:instr=" PAGE   \* MERGEFORMAT ">
          <w:r w:rsidR="007D6FB1">
            <w:rPr>
              <w:noProof/>
              <w:rtl/>
            </w:rPr>
            <w:t>- 142 -</w:t>
          </w:r>
        </w:fldSimple>
      </w:p>
    </w:sdtContent>
  </w:sdt>
  <w:p w:rsidR="009839FE" w:rsidRDefault="009839F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7F6D" w:rsidRDefault="00587F6D" w:rsidP="00D56942">
      <w:pPr>
        <w:spacing w:after="0" w:line="240" w:lineRule="auto"/>
      </w:pPr>
      <w:r>
        <w:separator/>
      </w:r>
    </w:p>
  </w:footnote>
  <w:footnote w:type="continuationSeparator" w:id="1">
    <w:p w:rsidR="00587F6D" w:rsidRDefault="00587F6D" w:rsidP="00D56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9FE" w:rsidRPr="007E40C1" w:rsidRDefault="009839FE" w:rsidP="00D56942">
    <w:pPr>
      <w:pStyle w:val="a4"/>
      <w:rPr>
        <w:rFonts w:cs="HeshamNormal"/>
        <w:sz w:val="28"/>
        <w:szCs w:val="28"/>
      </w:rPr>
    </w:pPr>
    <w:r>
      <w:rPr>
        <w:rFonts w:cs="HeshamNormal" w:hint="cs"/>
        <w:sz w:val="28"/>
        <w:szCs w:val="28"/>
        <w:rtl/>
        <w:lang w:bidi="ar-DZ"/>
      </w:rPr>
      <w:t xml:space="preserve">خاتمة                                                    </w:t>
    </w:r>
  </w:p>
  <w:p w:rsidR="009839FE" w:rsidRPr="006430AC" w:rsidRDefault="00BB497D" w:rsidP="00744591">
    <w:pPr>
      <w:pStyle w:val="a4"/>
    </w:pPr>
    <w:r>
      <w:rPr>
        <w:noProof/>
        <w:lang w:val="fr-FR" w:eastAsia="fr-FR"/>
      </w:rPr>
      <w:pict>
        <v:line id="_x0000_s1025" style="position:absolute;left:0;text-align:left;flip:x;z-index:251660288" from="-1.2pt,6.7pt" to="454.85pt,6.7pt" strokeweight="6pt">
          <v:stroke linestyle="thickBetweenThin"/>
          <w10:wrap anchorx="page"/>
        </v:lin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C1FC3"/>
    <w:multiLevelType w:val="hybridMultilevel"/>
    <w:tmpl w:val="CE1460E8"/>
    <w:lvl w:ilvl="0" w:tplc="B712A6A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9AB1585"/>
    <w:multiLevelType w:val="hybridMultilevel"/>
    <w:tmpl w:val="6B540294"/>
    <w:lvl w:ilvl="0" w:tplc="BC8865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604CDE"/>
    <w:multiLevelType w:val="hybridMultilevel"/>
    <w:tmpl w:val="6D585698"/>
    <w:lvl w:ilvl="0" w:tplc="874A89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3F5ED5"/>
    <w:multiLevelType w:val="hybridMultilevel"/>
    <w:tmpl w:val="13423BB6"/>
    <w:lvl w:ilvl="0" w:tplc="AEB29942">
      <w:start w:val="2"/>
      <w:numFmt w:val="bullet"/>
      <w:lvlText w:val="-"/>
      <w:lvlJc w:val="left"/>
      <w:pPr>
        <w:ind w:left="643" w:hanging="360"/>
      </w:pPr>
      <w:rPr>
        <w:rFonts w:ascii="Times New Roman" w:eastAsia="Times New Roman" w:hAnsi="Times New Roman" w:cs="Traditional Arabic" w:hint="default"/>
      </w:rPr>
    </w:lvl>
    <w:lvl w:ilvl="1" w:tplc="040C0019" w:tentative="1">
      <w:start w:val="1"/>
      <w:numFmt w:val="lowerLetter"/>
      <w:lvlText w:val="%2."/>
      <w:lvlJc w:val="left"/>
      <w:pPr>
        <w:ind w:left="1363" w:hanging="360"/>
      </w:p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abstractNum w:abstractNumId="4">
    <w:nsid w:val="3D163571"/>
    <w:multiLevelType w:val="hybridMultilevel"/>
    <w:tmpl w:val="70A27D18"/>
    <w:lvl w:ilvl="0" w:tplc="C13C92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3D7B77"/>
    <w:multiLevelType w:val="hybridMultilevel"/>
    <w:tmpl w:val="42CCEB6C"/>
    <w:lvl w:ilvl="0" w:tplc="23D27D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705B93"/>
    <w:multiLevelType w:val="hybridMultilevel"/>
    <w:tmpl w:val="83A00A10"/>
    <w:lvl w:ilvl="0" w:tplc="AEB29942">
      <w:start w:val="2"/>
      <w:numFmt w:val="bullet"/>
      <w:lvlText w:val="-"/>
      <w:lvlJc w:val="left"/>
      <w:pPr>
        <w:ind w:left="643" w:hanging="360"/>
      </w:pPr>
      <w:rPr>
        <w:rFonts w:ascii="Times New Roman" w:eastAsia="Times New Roman" w:hAnsi="Times New Roman" w:cs="Traditional Arabic" w:hint="default"/>
      </w:rPr>
    </w:lvl>
    <w:lvl w:ilvl="1" w:tplc="040C0019" w:tentative="1">
      <w:start w:val="1"/>
      <w:numFmt w:val="lowerLetter"/>
      <w:lvlText w:val="%2."/>
      <w:lvlJc w:val="left"/>
      <w:pPr>
        <w:ind w:left="1363" w:hanging="360"/>
      </w:pPr>
    </w:lvl>
    <w:lvl w:ilvl="2" w:tplc="040C001B" w:tentative="1">
      <w:start w:val="1"/>
      <w:numFmt w:val="lowerRoman"/>
      <w:lvlText w:val="%3."/>
      <w:lvlJc w:val="right"/>
      <w:pPr>
        <w:ind w:left="2083" w:hanging="180"/>
      </w:pPr>
    </w:lvl>
    <w:lvl w:ilvl="3" w:tplc="040C000F" w:tentative="1">
      <w:start w:val="1"/>
      <w:numFmt w:val="decimal"/>
      <w:lvlText w:val="%4."/>
      <w:lvlJc w:val="left"/>
      <w:pPr>
        <w:ind w:left="2803" w:hanging="360"/>
      </w:pPr>
    </w:lvl>
    <w:lvl w:ilvl="4" w:tplc="040C0019" w:tentative="1">
      <w:start w:val="1"/>
      <w:numFmt w:val="lowerLetter"/>
      <w:lvlText w:val="%5."/>
      <w:lvlJc w:val="left"/>
      <w:pPr>
        <w:ind w:left="3523" w:hanging="360"/>
      </w:pPr>
    </w:lvl>
    <w:lvl w:ilvl="5" w:tplc="040C001B" w:tentative="1">
      <w:start w:val="1"/>
      <w:numFmt w:val="lowerRoman"/>
      <w:lvlText w:val="%6."/>
      <w:lvlJc w:val="right"/>
      <w:pPr>
        <w:ind w:left="4243" w:hanging="180"/>
      </w:pPr>
    </w:lvl>
    <w:lvl w:ilvl="6" w:tplc="040C000F" w:tentative="1">
      <w:start w:val="1"/>
      <w:numFmt w:val="decimal"/>
      <w:lvlText w:val="%7."/>
      <w:lvlJc w:val="left"/>
      <w:pPr>
        <w:ind w:left="4963" w:hanging="360"/>
      </w:pPr>
    </w:lvl>
    <w:lvl w:ilvl="7" w:tplc="040C0019" w:tentative="1">
      <w:start w:val="1"/>
      <w:numFmt w:val="lowerLetter"/>
      <w:lvlText w:val="%8."/>
      <w:lvlJc w:val="left"/>
      <w:pPr>
        <w:ind w:left="5683" w:hanging="360"/>
      </w:pPr>
    </w:lvl>
    <w:lvl w:ilvl="8" w:tplc="040C001B" w:tentative="1">
      <w:start w:val="1"/>
      <w:numFmt w:val="lowerRoman"/>
      <w:lvlText w:val="%9."/>
      <w:lvlJc w:val="right"/>
      <w:pPr>
        <w:ind w:left="6403" w:hanging="180"/>
      </w:pPr>
    </w:lvl>
  </w:abstractNum>
  <w:abstractNum w:abstractNumId="7">
    <w:nsid w:val="46F45262"/>
    <w:multiLevelType w:val="hybridMultilevel"/>
    <w:tmpl w:val="07F6E518"/>
    <w:lvl w:ilvl="0" w:tplc="7264E7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9924A2"/>
    <w:multiLevelType w:val="hybridMultilevel"/>
    <w:tmpl w:val="AF7C94A8"/>
    <w:lvl w:ilvl="0" w:tplc="6762B7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0"/>
  </w:num>
  <w:num w:numId="4">
    <w:abstractNumId w:val="2"/>
  </w:num>
  <w:num w:numId="5">
    <w:abstractNumId w:val="1"/>
  </w:num>
  <w:num w:numId="6">
    <w:abstractNumId w:val="7"/>
  </w:num>
  <w:num w:numId="7">
    <w:abstractNumId w:val="8"/>
  </w:num>
  <w:num w:numId="8">
    <w:abstractNumId w:val="4"/>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9458"/>
    <o:shapelayout v:ext="edit">
      <o:idmap v:ext="edit" data="1"/>
    </o:shapelayout>
  </w:hdrShapeDefaults>
  <w:footnotePr>
    <w:footnote w:id="0"/>
    <w:footnote w:id="1"/>
  </w:footnotePr>
  <w:endnotePr>
    <w:endnote w:id="0"/>
    <w:endnote w:id="1"/>
  </w:endnotePr>
  <w:compat/>
  <w:rsids>
    <w:rsidRoot w:val="00D56942"/>
    <w:rsid w:val="000264BC"/>
    <w:rsid w:val="00127A6C"/>
    <w:rsid w:val="001D0E4D"/>
    <w:rsid w:val="002027AF"/>
    <w:rsid w:val="0029332A"/>
    <w:rsid w:val="002A4621"/>
    <w:rsid w:val="00323825"/>
    <w:rsid w:val="003B0E8B"/>
    <w:rsid w:val="0051633F"/>
    <w:rsid w:val="00550CAD"/>
    <w:rsid w:val="00587F6D"/>
    <w:rsid w:val="0059711F"/>
    <w:rsid w:val="005C5021"/>
    <w:rsid w:val="006064A6"/>
    <w:rsid w:val="006419FB"/>
    <w:rsid w:val="00687722"/>
    <w:rsid w:val="006D6311"/>
    <w:rsid w:val="00700B7D"/>
    <w:rsid w:val="00744591"/>
    <w:rsid w:val="007C0662"/>
    <w:rsid w:val="007D6FB1"/>
    <w:rsid w:val="008C767E"/>
    <w:rsid w:val="008E1B3C"/>
    <w:rsid w:val="00934DA2"/>
    <w:rsid w:val="009839FE"/>
    <w:rsid w:val="009C506F"/>
    <w:rsid w:val="00A44AAB"/>
    <w:rsid w:val="00A44C39"/>
    <w:rsid w:val="00A5143A"/>
    <w:rsid w:val="00A632D9"/>
    <w:rsid w:val="00A77CA6"/>
    <w:rsid w:val="00B02FED"/>
    <w:rsid w:val="00B949A4"/>
    <w:rsid w:val="00BB497D"/>
    <w:rsid w:val="00BD5B04"/>
    <w:rsid w:val="00C21247"/>
    <w:rsid w:val="00C261A8"/>
    <w:rsid w:val="00C31D66"/>
    <w:rsid w:val="00C74D39"/>
    <w:rsid w:val="00CD712D"/>
    <w:rsid w:val="00D41572"/>
    <w:rsid w:val="00D56942"/>
    <w:rsid w:val="00DB1FA8"/>
    <w:rsid w:val="00DE0C2F"/>
    <w:rsid w:val="00DE730F"/>
    <w:rsid w:val="00DF38F3"/>
    <w:rsid w:val="00F3149D"/>
    <w:rsid w:val="00F5025D"/>
    <w:rsid w:val="00F76BDA"/>
    <w:rsid w:val="00F9137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942"/>
    <w:pPr>
      <w:bidi/>
      <w:spacing w:after="200"/>
      <w:jc w:val="left"/>
    </w:pPr>
    <w:rPr>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6942"/>
    <w:pPr>
      <w:ind w:left="720"/>
      <w:contextualSpacing/>
    </w:pPr>
  </w:style>
  <w:style w:type="paragraph" w:styleId="a4">
    <w:name w:val="header"/>
    <w:basedOn w:val="a"/>
    <w:link w:val="Char"/>
    <w:uiPriority w:val="99"/>
    <w:semiHidden/>
    <w:unhideWhenUsed/>
    <w:rsid w:val="00D56942"/>
    <w:pPr>
      <w:tabs>
        <w:tab w:val="center" w:pos="4153"/>
        <w:tab w:val="right" w:pos="8306"/>
      </w:tabs>
      <w:spacing w:after="0" w:line="240" w:lineRule="auto"/>
    </w:pPr>
  </w:style>
  <w:style w:type="character" w:customStyle="1" w:styleId="Char">
    <w:name w:val="رأس صفحة Char"/>
    <w:basedOn w:val="a0"/>
    <w:link w:val="a4"/>
    <w:uiPriority w:val="99"/>
    <w:semiHidden/>
    <w:rsid w:val="00D56942"/>
    <w:rPr>
      <w:lang w:val="en-US"/>
    </w:rPr>
  </w:style>
  <w:style w:type="paragraph" w:styleId="a5">
    <w:name w:val="footer"/>
    <w:basedOn w:val="a"/>
    <w:link w:val="Char0"/>
    <w:uiPriority w:val="99"/>
    <w:unhideWhenUsed/>
    <w:rsid w:val="00D56942"/>
    <w:pPr>
      <w:tabs>
        <w:tab w:val="center" w:pos="4153"/>
        <w:tab w:val="right" w:pos="8306"/>
      </w:tabs>
      <w:spacing w:after="0" w:line="240" w:lineRule="auto"/>
    </w:pPr>
  </w:style>
  <w:style w:type="character" w:customStyle="1" w:styleId="Char0">
    <w:name w:val="تذييل صفحة Char"/>
    <w:basedOn w:val="a0"/>
    <w:link w:val="a5"/>
    <w:uiPriority w:val="99"/>
    <w:rsid w:val="00D56942"/>
    <w:rPr>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304</TotalTime>
  <Pages>5</Pages>
  <Words>650</Words>
  <Characters>3578</Characters>
  <Application>Microsoft Office Word</Application>
  <DocSecurity>0</DocSecurity>
  <Lines>29</Lines>
  <Paragraphs>8</Paragraphs>
  <ScaleCrop>false</ScaleCrop>
  <HeadingPairs>
    <vt:vector size="2" baseType="variant">
      <vt:variant>
        <vt:lpstr>العنوان</vt:lpstr>
      </vt:variant>
      <vt:variant>
        <vt:i4>1</vt:i4>
      </vt:variant>
    </vt:vector>
  </HeadingPairs>
  <TitlesOfParts>
    <vt:vector size="1" baseType="lpstr">
      <vt:lpstr/>
    </vt:vector>
  </TitlesOfParts>
  <Company>MAISON XP 035 55 37 49</Company>
  <LinksUpToDate>false</LinksUpToDate>
  <CharactersWithSpaces>4220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MAISON XP 035 55 37 49</dc:creator>
  <cp:keywords/>
  <dc:description/>
  <cp:lastModifiedBy> MAISON XP 035 55 37 49</cp:lastModifiedBy>
  <cp:revision>20</cp:revision>
  <cp:lastPrinted>2013-10-03T08:11:00Z</cp:lastPrinted>
  <dcterms:created xsi:type="dcterms:W3CDTF">2013-08-19T12:02:00Z</dcterms:created>
  <dcterms:modified xsi:type="dcterms:W3CDTF">2013-10-03T08:11:00Z</dcterms:modified>
</cp:coreProperties>
</file>